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Recorded by: Liming Pals     </w:t>
      </w:r>
    </w:p>
    <w:p w:rsidR="00000000" w:rsidDel="00000000" w:rsidP="00000000" w:rsidRDefault="00000000" w:rsidRPr="00000000" w14:paraId="00000002">
      <w:pPr>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Date:October 12, 2024</w:t>
      </w:r>
    </w:p>
    <w:p w:rsidR="00000000" w:rsidDel="00000000" w:rsidP="00000000" w:rsidRDefault="00000000" w:rsidRPr="00000000" w14:paraId="00000003">
      <w:pPr>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Approved by: </w:t>
      </w:r>
    </w:p>
    <w:p w:rsidR="00000000" w:rsidDel="00000000" w:rsidP="00000000" w:rsidRDefault="00000000" w:rsidRPr="00000000" w14:paraId="00000004">
      <w:pPr>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[DATE of approval]</w:t>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ATA65 CLD Annual Meeting </w:t>
      </w:r>
    </w:p>
    <w:p w:rsidR="00000000" w:rsidDel="00000000" w:rsidP="00000000" w:rsidRDefault="00000000" w:rsidRPr="00000000" w14:paraId="0000000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Minutes of the Meeting</w:t>
      </w:r>
    </w:p>
    <w:p w:rsidR="00000000" w:rsidDel="00000000" w:rsidP="00000000" w:rsidRDefault="00000000" w:rsidRPr="00000000" w14:paraId="0000000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Meeting date / time: </w:t>
      </w:r>
      <w:r w:rsidDel="00000000" w:rsidR="00000000" w:rsidRPr="00000000">
        <w:rPr>
          <w:rFonts w:ascii="Arial" w:cs="Arial" w:eastAsia="Arial" w:hAnsi="Arial"/>
          <w:sz w:val="20"/>
          <w:szCs w:val="20"/>
          <w:rtl w:val="0"/>
        </w:rPr>
        <w:t xml:space="preserve">October 12nd, 2024 11:00 AM - 12:00 PM ET</w:t>
        <w:tab/>
      </w:r>
      <w:r w:rsidDel="00000000" w:rsidR="00000000" w:rsidRPr="00000000">
        <w:rPr>
          <w:rFonts w:ascii="Arial" w:cs="Arial" w:eastAsia="Arial" w:hAnsi="Arial"/>
          <w:b w:val="1"/>
          <w:sz w:val="20"/>
          <w:szCs w:val="20"/>
          <w:rtl w:val="0"/>
        </w:rPr>
        <w:t xml:space="preserve">Meeting location:</w:t>
      </w:r>
      <w:r w:rsidDel="00000000" w:rsidR="00000000" w:rsidRPr="00000000">
        <w:rPr>
          <w:rFonts w:ascii="Arial" w:cs="Arial" w:eastAsia="Arial" w:hAnsi="Arial"/>
          <w:sz w:val="20"/>
          <w:szCs w:val="20"/>
          <w:rtl w:val="0"/>
        </w:rPr>
        <w:t xml:space="preserve"> Virtual</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 participants:</w:t>
      </w:r>
    </w:p>
    <w:tbl>
      <w:tblPr>
        <w:tblStyle w:val="Table1"/>
        <w:tblW w:w="96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3780"/>
        <w:gridCol w:w="4194"/>
        <w:tblGridChange w:id="0">
          <w:tblGrid>
            <w:gridCol w:w="1705"/>
            <w:gridCol w:w="3780"/>
            <w:gridCol w:w="4194"/>
          </w:tblGrid>
        </w:tblGridChange>
      </w:tblGrid>
      <w:tr>
        <w:trPr>
          <w:cantSplit w:val="0"/>
          <w:tblHeader w:val="0"/>
        </w:trPr>
        <w:tc>
          <w:tcPr>
            <w:vMerge w:val="restart"/>
          </w:tcPr>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w:t>
            </w:r>
          </w:p>
        </w:tc>
        <w:tc>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Administrator</w:t>
            </w:r>
          </w:p>
        </w:tc>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Tianlu Redmon</w:t>
            </w:r>
          </w:p>
        </w:tc>
      </w:tr>
      <w:tr>
        <w:trPr>
          <w:cantSplit w:val="0"/>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Assistant Administrator</w:t>
            </w:r>
          </w:p>
        </w:tc>
        <w:tc>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Liming Pals</w:t>
            </w:r>
          </w:p>
        </w:tc>
      </w:tr>
      <w:tr>
        <w:trPr>
          <w:cantSplit w:val="0"/>
          <w:trHeight w:val="296"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LC Members</w:t>
            </w:r>
          </w:p>
        </w:tc>
        <w:tc>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Tingting Qin, Lenny Yang, Shaoli GU,Rony Gao, Sijin Xian, Jessie Li, Tingting Qin, Mingshu Zhang </w:t>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CLD Members</w:t>
            </w:r>
          </w:p>
        </w:tc>
        <w:tc>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Roanna Cheung, Garry Guan, Hongyu Li, Caroline Liao, Sunny Song, Sean Song, Fred Liu, Jessie Liu, Kristoffer Booker, Lenny Yang, Shaoli GU,Rony Gao, Sijin Xian, Jessie Li, Tingting Qin, Min Zhang, Luyi Yang, Mintao Huang, Tim Durgin, Tina Teng, Tingting Qin, Zhenhuan Lei, Tingting Qin, Armando Zarate, Caroline Liao, Bruce Hyman, Doug McNeal, Duoduo Lei</w:t>
            </w:r>
          </w:p>
        </w:tc>
      </w:tr>
      <w:tr>
        <w:trPr>
          <w:cantSplit w:val="0"/>
          <w:trHeight w:val="214.98046875" w:hRule="atLeast"/>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(Total 27 attendees)</w:t>
            </w:r>
          </w:p>
        </w:tc>
        <w:tc>
          <w:tcPr/>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tc>
      </w:tr>
      <w:tr>
        <w:trPr>
          <w:cantSplit w:val="0"/>
          <w:trHeight w:val="89" w:hRule="atLeast"/>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1. Opening 5min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2. CLD 2024 30min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Shaoli: Website 5min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Sijin Xian: Yifeng 5min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Rony Gao: Podcast 5min</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Rony: Events 5min</w:t>
      </w:r>
    </w:p>
    <w:p w:rsidR="00000000" w:rsidDel="00000000" w:rsidP="00000000" w:rsidRDefault="00000000" w:rsidRPr="00000000" w14:paraId="0000002C">
      <w:pP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Liming: WeChat Official Account + social media 5min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Tianlu: WeChat groups, thank volunteers 5min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3.  ATA65 CLD-related sessions and events 10 min</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Liming: Sessions 5min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t>
        <w:tab/>
        <w:t xml:space="preserve">Jessie: CLD dinner 5min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4.  ATA65 5min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sz w:val="20"/>
          <w:szCs w:val="20"/>
        </w:rPr>
      </w:pPr>
      <w:r w:rsidDel="00000000" w:rsidR="00000000" w:rsidRPr="00000000">
        <w:rPr>
          <w:rFonts w:ascii="Arial" w:cs="Arial" w:eastAsia="Arial" w:hAnsi="Arial"/>
          <w:color w:val="222222"/>
          <w:sz w:val="20"/>
          <w:szCs w:val="20"/>
          <w:rtl w:val="0"/>
        </w:rPr>
        <w:t xml:space="preserve">5.  Networking 10min</w:t>
      </w:r>
      <w:r w:rsidDel="00000000" w:rsidR="00000000" w:rsidRPr="00000000">
        <w:rPr>
          <w:rFonts w:ascii="Arial" w:cs="Arial" w:eastAsia="Arial" w:hAnsi="Arial"/>
          <w:color w:val="000000"/>
          <w:sz w:val="20"/>
          <w:szCs w:val="20"/>
          <w:rtl w:val="0"/>
        </w:rPr>
        <w:t xml:space="preserve">                </w:t>
        <w:tab/>
      </w:r>
    </w:p>
    <w:p w:rsidR="00000000" w:rsidDel="00000000" w:rsidP="00000000" w:rsidRDefault="00000000" w:rsidRPr="00000000" w14:paraId="000000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Minutes:</w:t>
      </w:r>
    </w:p>
    <w:p w:rsidR="00000000" w:rsidDel="00000000" w:rsidP="00000000" w:rsidRDefault="00000000" w:rsidRPr="00000000" w14:paraId="00000038">
      <w:pPr>
        <w:rPr>
          <w:rFonts w:ascii="Arial" w:cs="Arial" w:eastAsia="Arial" w:hAnsi="Arial"/>
          <w:b w:val="1"/>
          <w:sz w:val="20"/>
          <w:szCs w:val="20"/>
        </w:rPr>
      </w:pPr>
      <w:r w:rsidDel="00000000" w:rsidR="00000000" w:rsidRPr="00000000">
        <w:rPr>
          <w:rtl w:val="0"/>
        </w:rPr>
      </w:r>
    </w:p>
    <w:tbl>
      <w:tblPr>
        <w:tblStyle w:val="Table2"/>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6330"/>
        <w:gridCol w:w="1350"/>
        <w:tblGridChange w:id="0">
          <w:tblGrid>
            <w:gridCol w:w="2100"/>
            <w:gridCol w:w="6330"/>
            <w:gridCol w:w="1350"/>
          </w:tblGrid>
        </w:tblGridChange>
      </w:tblGrid>
      <w:tr>
        <w:trPr>
          <w:cantSplit w:val="0"/>
          <w:tblHeader w:val="0"/>
        </w:trPr>
        <w:tc>
          <w:tcPr/>
          <w:p w:rsidR="00000000" w:rsidDel="00000000" w:rsidP="00000000" w:rsidRDefault="00000000" w:rsidRPr="00000000" w14:paraId="0000003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Topic</w:t>
            </w:r>
          </w:p>
        </w:tc>
        <w:tc>
          <w:tcPr/>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Summary of discussion</w:t>
            </w:r>
          </w:p>
        </w:tc>
        <w:tc>
          <w:tcPr/>
          <w:p w:rsidR="00000000" w:rsidDel="00000000" w:rsidP="00000000" w:rsidRDefault="00000000" w:rsidRPr="00000000" w14:paraId="0000003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Conclusion</w:t>
            </w:r>
          </w:p>
        </w:tc>
      </w:tr>
      <w:tr>
        <w:trPr>
          <w:cantSplit w:val="0"/>
          <w:tblHeader w:val="0"/>
        </w:trPr>
        <w:tc>
          <w:tcPr/>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Opening speech</w:t>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Tianlu encouraged the attendees to confirm the CLD membership status. She shared with the attendees ways to make sure ATA CLD membership is up to date. </w:t>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Approve minutes of 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 ATA6</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 CLD Annual meeting</w:t>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Liming Pals moved to approve the minutes of the 2024 ATA65 CLD Annual meeting. Shaoli Gu seconded, the minutes are approved. </w:t>
            </w:r>
          </w:p>
        </w:tc>
        <w:tc>
          <w:tcPr/>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259"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CLD 2024 30 Min</w:t>
            </w:r>
            <w:r w:rsidDel="00000000" w:rsidR="00000000" w:rsidRPr="00000000">
              <w:rPr>
                <w:rtl w:val="0"/>
              </w:rPr>
            </w:r>
          </w:p>
        </w:tc>
        <w:tc>
          <w:tcPr/>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Shaoli shared updates on the website in the past year. Feedback and advice were welcomed. Shaoli</w:t>
            </w:r>
            <w:r w:rsidDel="00000000" w:rsidR="00000000" w:rsidRPr="00000000">
              <w:rPr>
                <w:rFonts w:ascii="Arial" w:cs="Arial" w:eastAsia="Arial" w:hAnsi="Arial"/>
                <w:sz w:val="20"/>
                <w:szCs w:val="20"/>
                <w:rtl w:val="0"/>
              </w:rPr>
              <w:t xml:space="preserve"> shared that the website was down for a while due to ATA HQ server issues. Shaoli </w:t>
            </w:r>
            <w:r w:rsidDel="00000000" w:rsidR="00000000" w:rsidRPr="00000000">
              <w:rPr>
                <w:rFonts w:ascii="Arial" w:cs="Arial" w:eastAsia="Arial" w:hAnsi="Arial"/>
                <w:color w:val="000000"/>
                <w:sz w:val="20"/>
                <w:szCs w:val="20"/>
                <w:rtl w:val="0"/>
              </w:rPr>
              <w:t xml:space="preserve">introduced the main menu, events, Yifeng Blog, Podcast, Resources, and links to CLD social media. She further explained the contents on the sidebar and added features. </w:t>
            </w:r>
            <w:r w:rsidDel="00000000" w:rsidR="00000000" w:rsidRPr="00000000">
              <w:rPr>
                <w:rFonts w:ascii="Arial" w:cs="Arial" w:eastAsia="Arial" w:hAnsi="Arial"/>
                <w:sz w:val="20"/>
                <w:szCs w:val="20"/>
                <w:rtl w:val="0"/>
              </w:rPr>
              <w:t xml:space="preserve">She encouraged the members to join our team as volunteers. Yifeng blog categories were added to help the readers to navigate the blog posts, and our podcasts has 12 episodes so far. ATA Certification related articles and Termbases are gathered for all to view. </w:t>
            </w: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Sijin Xian shared the articles posted in the last year.  Sijin also introduced the Yifeng Team consisting of Sijin, Fang and Ben. Sijin encouraged more members or even nonmembers to write articles or contribute content to share with fellow colleagues about their experiences or insights. </w:t>
            </w:r>
            <w:r w:rsidDel="00000000" w:rsidR="00000000" w:rsidRPr="00000000">
              <w:rPr>
                <w:rtl w:val="0"/>
              </w:rPr>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Rony updated podcast growth and progress for podcast and invited members to share, participate, provide ideas.</w:t>
            </w: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Rony shared the CLD Events team and the 6 events hosted in the past year, 131 CE hours. Rony recommended everyone to participate in the upcoming events which could help members with networking and CE points. He also shared practical ways to make sure attendees of CLD events can get CE points. </w:t>
            </w:r>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Liming Pals updated CLD members on the WeChat Official Account, LinkedIn, and Facebook. </w:t>
            </w:r>
            <w:r w:rsidDel="00000000" w:rsidR="00000000" w:rsidRPr="00000000">
              <w:rPr>
                <w:rFonts w:ascii="Arial" w:cs="Arial" w:eastAsia="Arial" w:hAnsi="Arial"/>
                <w:sz w:val="20"/>
                <w:szCs w:val="20"/>
                <w:rtl w:val="0"/>
              </w:rPr>
              <w:t xml:space="preserve">LinkedIn followers increased from 219 to 743, 239% increase in the past year. In the past 12 months, we posted 266 posts, with 685 engagement which is lower than other divisions. We will seek ways to improve the engagement. Facebook also achieved great progress in the last year, reach increased 42% and engagement increased 60% in the last 90 days. </w:t>
            </w: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Tianlu thanked all of our 12 volunteers and 8 leadership council members! Tianlu calls for help for all to join our volunteer group. </w:t>
            </w: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Tianlu announced the CLD 2024 election results, Liming Pals will be CLD Admin and Rony Gao will be Assistant Admin. </w:t>
            </w:r>
            <w:r w:rsidDel="00000000" w:rsidR="00000000" w:rsidRPr="00000000">
              <w:rPr>
                <w:rtl w:val="0"/>
              </w:rPr>
            </w:r>
          </w:p>
        </w:tc>
        <w:tc>
          <w:tcPr/>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ATA 65 CLD Highlights</w:t>
            </w:r>
          </w:p>
        </w:tc>
        <w:tc>
          <w:tcPr/>
          <w:p w:rsidR="00000000" w:rsidDel="00000000" w:rsidP="00000000" w:rsidRDefault="00000000" w:rsidRPr="00000000" w14:paraId="0000004D">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CLD - Distinguished Speaker Cecilia</w:t>
            </w:r>
            <w:r w:rsidDel="00000000" w:rsidR="00000000" w:rsidRPr="00000000">
              <w:rPr>
                <w:rtl w:val="0"/>
              </w:rPr>
            </w:r>
          </w:p>
          <w:p w:rsidR="00000000" w:rsidDel="00000000" w:rsidP="00000000" w:rsidRDefault="00000000" w:rsidRPr="00000000" w14:paraId="0000004E">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CLD Sessions and Events (18 in total, please check the website www.ata-divisions.org/CLD/ATA65-CLD-sessions/)</w:t>
            </w:r>
            <w:r w:rsidDel="00000000" w:rsidR="00000000" w:rsidRPr="00000000">
              <w:rPr>
                <w:rtl w:val="0"/>
              </w:rPr>
            </w:r>
          </w:p>
          <w:p w:rsidR="00000000" w:rsidDel="00000000" w:rsidP="00000000" w:rsidRDefault="00000000" w:rsidRPr="00000000" w14:paraId="0000004F">
            <w:pPr>
              <w:numPr>
                <w:ilvl w:val="0"/>
                <w:numId w:val="4"/>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CLD Dinner at 7:30pm on Thursday October 31st, 2024. </w:t>
            </w:r>
            <w:r w:rsidDel="00000000" w:rsidR="00000000" w:rsidRPr="00000000">
              <w:rPr>
                <w:rtl w:val="0"/>
              </w:rPr>
            </w:r>
          </w:p>
          <w:p w:rsidR="00000000" w:rsidDel="00000000" w:rsidP="00000000" w:rsidRDefault="00000000" w:rsidRPr="00000000" w14:paraId="00000050">
            <w:pPr>
              <w:ind w:left="720" w:firstLine="0"/>
              <w:rPr>
                <w:rFonts w:ascii="Arial" w:cs="Arial" w:eastAsia="Arial" w:hAnsi="Arial"/>
                <w:sz w:val="20"/>
                <w:szCs w:val="20"/>
                <w:u w:val="none"/>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ATA 65</w:t>
            </w:r>
          </w:p>
        </w:tc>
        <w:tc>
          <w:tcPr/>
          <w:p w:rsidR="00000000" w:rsidDel="00000000" w:rsidP="00000000" w:rsidRDefault="00000000" w:rsidRPr="00000000" w14:paraId="00000054">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ATA66 will be in Boston, MA</w:t>
            </w:r>
          </w:p>
          <w:p w:rsidR="00000000" w:rsidDel="00000000" w:rsidP="00000000" w:rsidRDefault="00000000" w:rsidRPr="00000000" w14:paraId="00000055">
            <w:pPr>
              <w:numPr>
                <w:ilvl w:val="0"/>
                <w:numId w:val="1"/>
              </w:numP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Proposal submission is from February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to early March.</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59" w:lineRule="auto"/>
              <w:ind w:left="360" w:firstLine="0"/>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Adjournment</w:t>
            </w:r>
          </w:p>
        </w:tc>
        <w:tc>
          <w:tcPr/>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meeting</w:t>
            </w:r>
            <w:r w:rsidDel="00000000" w:rsidR="00000000" w:rsidRPr="00000000">
              <w:rPr>
                <w:rFonts w:ascii="Arial" w:cs="Arial" w:eastAsia="Arial" w:hAnsi="Arial"/>
                <w:color w:val="000000"/>
                <w:sz w:val="20"/>
                <w:szCs w:val="20"/>
                <w:rtl w:val="0"/>
              </w:rPr>
              <w:t xml:space="preserve"> was adjourned at </w:t>
            </w: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00 p</w:t>
            </w:r>
            <w:r w:rsidDel="00000000" w:rsidR="00000000" w:rsidRPr="00000000">
              <w:rPr>
                <w:rFonts w:ascii="Arial" w:cs="Arial" w:eastAsia="Arial" w:hAnsi="Arial"/>
                <w:color w:val="000000"/>
                <w:sz w:val="20"/>
                <w:szCs w:val="20"/>
                <w:rtl w:val="0"/>
              </w:rPr>
              <w:t xml:space="preserve">m ET. </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59" w:lineRule="auto"/>
              <w:ind w:left="36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Group photo</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259" w:lineRule="auto"/>
              <w:ind w:left="360" w:firstLine="0"/>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Post-meeting Networking</w:t>
            </w:r>
          </w:p>
        </w:tc>
        <w:tc>
          <w:tcPr/>
          <w:p w:rsidR="00000000" w:rsidDel="00000000" w:rsidP="00000000" w:rsidRDefault="00000000" w:rsidRPr="00000000" w14:paraId="0000005C">
            <w:pPr>
              <w:spacing w:after="160" w:line="259" w:lineRule="auto"/>
              <w:ind w:left="72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259" w:lineRule="auto"/>
              <w:ind w:left="360" w:firstLine="0"/>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5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sectPr>
      <w:footerReference r:id="rId7" w:type="default"/>
      <w:pgSz w:h="15840" w:w="12240" w:orient="portrait"/>
      <w:pgMar w:bottom="1134" w:top="576" w:left="1701"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44"/>
        <w:tab w:val="right" w:leader="none" w:pos="9689"/>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44"/>
        <w:tab w:val="right" w:leader="none" w:pos="9689"/>
      </w:tabs>
      <w:rPr>
        <w:rFonts w:ascii="Calibri" w:cs="Calibri" w:eastAsia="Calibri" w:hAnsi="Calibri"/>
        <w:color w:val="00000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3jhR9mG9oTaIyx0l23KAosPA==">CgMxLjA4AHIhMUJ6SWlTYXV2R2Fsdm5iMGdUWWJNRzlFMnBNYzRRdmJv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